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520" w:lineRule="auto"/>
        <w:ind w:left="2905" w:right="3036" w:firstLine="156"/>
        <w:jc w:val="left"/>
        <w:rPr>
          <w:b/>
          <w:sz w:val="24"/>
        </w:rPr>
      </w:pPr>
      <w:r>
        <w:rPr>
          <w:b/>
          <w:color w:val="333333"/>
          <w:spacing w:val="-11"/>
          <w:sz w:val="24"/>
        </w:rPr>
        <w:t>成都游憩环境技术研究院</w:t>
      </w:r>
      <w:r>
        <w:rPr>
          <w:b/>
          <w:color w:val="333333"/>
          <w:spacing w:val="-8"/>
          <w:sz w:val="24"/>
        </w:rPr>
        <w:t>20</w:t>
      </w:r>
      <w:r>
        <w:rPr>
          <w:rFonts w:hint="eastAsia"/>
          <w:b/>
          <w:color w:val="333333"/>
          <w:spacing w:val="-8"/>
          <w:sz w:val="24"/>
          <w:lang w:val="en-US" w:eastAsia="zh-CN"/>
        </w:rPr>
        <w:t>21</w:t>
      </w:r>
      <w:r>
        <w:rPr>
          <w:b/>
          <w:color w:val="333333"/>
          <w:spacing w:val="-17"/>
          <w:sz w:val="24"/>
        </w:rPr>
        <w:t>年开放性课题申报指南</w:t>
      </w:r>
    </w:p>
    <w:p>
      <w:pPr>
        <w:pStyle w:val="2"/>
        <w:spacing w:before="3"/>
        <w:ind w:left="100"/>
      </w:pPr>
      <w:r>
        <w:rPr>
          <w:color w:val="333333"/>
          <w:spacing w:val="-15"/>
        </w:rPr>
        <w:t>除重点项目外，一般项目与自筹项目可不受指南限制自行拟定研究题目。</w:t>
      </w:r>
    </w:p>
    <w:p>
      <w:pPr>
        <w:pStyle w:val="2"/>
        <w:spacing w:before="6"/>
        <w:ind w:left="0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（一）重点项目</w:t>
      </w:r>
    </w:p>
    <w:p>
      <w:pPr>
        <w:pStyle w:val="2"/>
        <w:spacing w:before="9"/>
        <w:ind w:left="0"/>
        <w:rPr>
          <w:b/>
          <w:sz w:val="20"/>
        </w:rPr>
      </w:pPr>
    </w:p>
    <w:p>
      <w:pPr>
        <w:pStyle w:val="2"/>
        <w:spacing w:line="422" w:lineRule="auto"/>
        <w:ind w:right="3667"/>
        <w:rPr>
          <w:rFonts w:hint="default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1.</w:t>
      </w:r>
      <w:r>
        <w:rPr>
          <w:color w:val="333333"/>
        </w:rPr>
        <w:t>生态环境与疫情防控研究</w:t>
      </w:r>
    </w:p>
    <w:p>
      <w:pPr>
        <w:pStyle w:val="2"/>
        <w:spacing w:line="422" w:lineRule="auto"/>
        <w:ind w:right="3667"/>
        <w:rPr>
          <w:color w:val="333333"/>
        </w:rPr>
      </w:pPr>
      <w:r>
        <w:rPr>
          <w:rFonts w:hint="eastAsia"/>
          <w:color w:val="333333"/>
          <w:lang w:val="en-US" w:eastAsia="zh-CN"/>
        </w:rPr>
        <w:t>2</w:t>
      </w:r>
      <w:r>
        <w:rPr>
          <w:color w:val="333333"/>
        </w:rPr>
        <w:t>.我国游憩环境学科基础理论系统研究</w:t>
      </w:r>
    </w:p>
    <w:p>
      <w:pPr>
        <w:pStyle w:val="2"/>
        <w:spacing w:line="422" w:lineRule="auto"/>
        <w:ind w:right="3667"/>
      </w:pPr>
      <w:r>
        <w:rPr>
          <w:rFonts w:hint="eastAsia"/>
          <w:color w:val="333333"/>
          <w:lang w:val="en-US" w:eastAsia="zh-CN"/>
        </w:rPr>
        <w:t>3</w:t>
      </w:r>
      <w:r>
        <w:rPr>
          <w:color w:val="333333"/>
        </w:rPr>
        <w:t>.我国城市游憩环境分析与评价</w:t>
      </w:r>
    </w:p>
    <w:p>
      <w:pPr>
        <w:pStyle w:val="6"/>
        <w:numPr>
          <w:ilvl w:val="0"/>
          <w:numId w:val="0"/>
        </w:numPr>
        <w:tabs>
          <w:tab w:val="left" w:pos="504"/>
        </w:tabs>
        <w:spacing w:before="2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4.</w:t>
      </w:r>
      <w:r>
        <w:rPr>
          <w:color w:val="333333"/>
          <w:spacing w:val="-5"/>
          <w:sz w:val="28"/>
        </w:rPr>
        <w:t>城市公园游憩服务质量提升研究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5.</w:t>
      </w:r>
      <w:r>
        <w:rPr>
          <w:color w:val="333333"/>
          <w:spacing w:val="-5"/>
          <w:sz w:val="28"/>
        </w:rPr>
        <w:t>乡村振兴与乡村游憩环境建设研究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6.</w:t>
      </w:r>
      <w:r>
        <w:rPr>
          <w:color w:val="333333"/>
          <w:spacing w:val="-5"/>
          <w:sz w:val="28"/>
        </w:rPr>
        <w:t>休闲游憩城市的评价指标与建设策略研究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447"/>
      </w:pPr>
      <w:r>
        <w:rPr>
          <w:color w:val="333333"/>
        </w:rPr>
        <w:t>政策依据：国务院办公厅关于印发国民旅游休闲纲要（2013—2020 年）的通知国办发〔2013〕10 号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1" w:after="0" w:line="240" w:lineRule="auto"/>
        <w:ind w:left="220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7.</w:t>
      </w:r>
      <w:r>
        <w:rPr>
          <w:color w:val="333333"/>
          <w:spacing w:val="-5"/>
          <w:sz w:val="28"/>
        </w:rPr>
        <w:t>全域旅游发展背景下的都市环城游憩带开发研究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</w:pPr>
      <w:r>
        <w:rPr>
          <w:color w:val="333333"/>
        </w:rPr>
        <w:t>政策依据：国务院办公厅关于促进全域旅游发展的指导意见国办发</w:t>
      </w:r>
    </w:p>
    <w:p>
      <w:pPr>
        <w:pStyle w:val="2"/>
        <w:spacing w:before="4"/>
        <w:ind w:left="0"/>
        <w:rPr>
          <w:sz w:val="21"/>
        </w:rPr>
      </w:pPr>
    </w:p>
    <w:p>
      <w:pPr>
        <w:pStyle w:val="2"/>
      </w:pPr>
      <w:r>
        <w:rPr>
          <w:color w:val="333333"/>
        </w:rPr>
        <w:t>〔2018〕15 号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</w:pPr>
      <w:r>
        <w:rPr>
          <w:rFonts w:hint="eastAsia"/>
          <w:color w:val="333333"/>
          <w:lang w:val="en-US" w:eastAsia="zh-CN"/>
        </w:rPr>
        <w:t>8.</w:t>
      </w:r>
      <w:r>
        <w:rPr>
          <w:color w:val="333333"/>
        </w:rPr>
        <w:t>国家公园游憩功能的全面建设与评价体系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307"/>
      </w:pPr>
      <w:r>
        <w:rPr>
          <w:color w:val="333333"/>
        </w:rPr>
        <w:t>政策依据：中共中央办公厅 国务院办公厅印发《建立国家公园体制总体方案》</w:t>
      </w:r>
    </w:p>
    <w:p>
      <w:pPr>
        <w:pStyle w:val="2"/>
        <w:spacing w:before="2"/>
      </w:pPr>
      <w:r>
        <w:rPr>
          <w:rFonts w:hint="eastAsia"/>
          <w:color w:val="333333"/>
          <w:lang w:val="en-US" w:eastAsia="zh-CN"/>
        </w:rPr>
        <w:t>9.</w:t>
      </w:r>
      <w:r>
        <w:rPr>
          <w:color w:val="333333"/>
        </w:rPr>
        <w:t>休闲农业与田园综合体创新模式研究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before="1" w:line="422" w:lineRule="auto"/>
        <w:ind w:right="278"/>
      </w:pPr>
      <w:r>
        <w:rPr>
          <w:color w:val="333333"/>
          <w:spacing w:val="-15"/>
        </w:rPr>
        <w:t>政策依据：《农业部办公厅关于推动落实休闲农业和乡村旅游发展政策</w:t>
      </w:r>
      <w:r>
        <w:rPr>
          <w:color w:val="333333"/>
          <w:spacing w:val="-8"/>
        </w:rPr>
        <w:t>的通知》农办加〔</w:t>
      </w:r>
      <w:r>
        <w:rPr>
          <w:color w:val="333333"/>
        </w:rPr>
        <w:t>2017〕15</w:t>
      </w:r>
      <w:r>
        <w:rPr>
          <w:color w:val="333333"/>
          <w:spacing w:val="-18"/>
        </w:rPr>
        <w:t xml:space="preserve"> 号</w:t>
      </w:r>
    </w:p>
    <w:p>
      <w:pPr>
        <w:spacing w:after="0" w:line="422" w:lineRule="auto"/>
        <w:sectPr>
          <w:type w:val="continuous"/>
          <w:pgSz w:w="11910" w:h="16840"/>
          <w:pgMar w:top="1460" w:right="1540" w:bottom="280" w:left="1580" w:header="720" w:footer="720" w:gutter="0"/>
        </w:sectPr>
      </w:pPr>
    </w:p>
    <w:p>
      <w:pPr>
        <w:spacing w:before="37" w:line="422" w:lineRule="auto"/>
        <w:ind w:left="220" w:right="5195" w:firstLine="0"/>
        <w:jc w:val="left"/>
        <w:rPr>
          <w:sz w:val="28"/>
        </w:rPr>
      </w:pPr>
      <w:r>
        <w:rPr>
          <w:b/>
          <w:color w:val="333333"/>
          <w:spacing w:val="-1"/>
          <w:w w:val="95"/>
          <w:sz w:val="28"/>
        </w:rPr>
        <w:t>（</w:t>
      </w:r>
      <w:r>
        <w:rPr>
          <w:b/>
          <w:color w:val="333333"/>
          <w:w w:val="95"/>
          <w:sz w:val="28"/>
        </w:rPr>
        <w:t>二）一般项目、自筹项目</w:t>
      </w:r>
      <w:r>
        <w:rPr>
          <w:color w:val="333333"/>
          <w:sz w:val="28"/>
        </w:rPr>
        <w:t>1.</w:t>
      </w:r>
      <w:r>
        <w:rPr>
          <w:color w:val="333333"/>
          <w:spacing w:val="-2"/>
          <w:sz w:val="28"/>
        </w:rPr>
        <w:t>休闲游憩</w:t>
      </w:r>
    </w:p>
    <w:p>
      <w:pPr>
        <w:pStyle w:val="2"/>
        <w:spacing w:line="422" w:lineRule="auto"/>
        <w:ind w:right="458"/>
      </w:pPr>
      <w:r>
        <w:rPr>
          <w:color w:val="333333"/>
          <w:spacing w:val="-13"/>
        </w:rPr>
        <w:t>休闲学与休闲产业、休闲游憩业发展、休闲游憩观光、休闲游憩项目</w:t>
      </w:r>
      <w:r>
        <w:rPr>
          <w:color w:val="333333"/>
          <w:spacing w:val="-4"/>
        </w:rPr>
        <w:t>设计等</w:t>
      </w:r>
      <w:bookmarkStart w:id="0" w:name="_GoBack"/>
      <w:bookmarkEnd w:id="0"/>
      <w:r>
        <w:rPr>
          <w:color w:val="333333"/>
          <w:spacing w:val="-4"/>
        </w:rPr>
        <w:t>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1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景观设计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2" w:lineRule="auto"/>
        <w:ind w:right="515"/>
      </w:pPr>
      <w:r>
        <w:rPr>
          <w:color w:val="333333"/>
          <w:spacing w:val="-15"/>
        </w:rPr>
        <w:t>城市公共绿地、住宅区、滨河绿地、公园、游园等景观规划设计理论</w:t>
      </w:r>
      <w:r>
        <w:rPr>
          <w:color w:val="333333"/>
          <w:spacing w:val="-4"/>
        </w:rPr>
        <w:t>与方法研究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2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城乡规划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0" w:lineRule="auto"/>
        <w:ind w:right="808"/>
      </w:pPr>
      <w:r>
        <w:rPr>
          <w:color w:val="333333"/>
          <w:spacing w:val="-6"/>
        </w:rPr>
        <w:t>城市规划、市政建设、新农村建设、城市管理、城市交通等研究</w:t>
      </w:r>
      <w:r>
        <w:rPr>
          <w:color w:val="333333"/>
          <w:spacing w:val="-5"/>
        </w:rPr>
        <w:t>4</w:t>
      </w:r>
      <w:r>
        <w:rPr>
          <w:color w:val="333333"/>
          <w:spacing w:val="-4"/>
        </w:rPr>
        <w:t>.环境保护</w:t>
      </w:r>
    </w:p>
    <w:p>
      <w:pPr>
        <w:pStyle w:val="2"/>
        <w:spacing w:before="5" w:line="422" w:lineRule="auto"/>
        <w:ind w:right="1639"/>
      </w:pPr>
      <w:r>
        <w:rPr>
          <w:color w:val="333333"/>
          <w:spacing w:val="-6"/>
        </w:rPr>
        <w:t>环境监测、环境保护与治理、生态文化、绿色产业等研究</w:t>
      </w:r>
      <w:r>
        <w:rPr>
          <w:color w:val="333333"/>
          <w:spacing w:val="-5"/>
        </w:rPr>
        <w:t>5</w:t>
      </w:r>
      <w:r>
        <w:rPr>
          <w:color w:val="333333"/>
          <w:spacing w:val="-4"/>
        </w:rPr>
        <w:t>.人文环境</w:t>
      </w:r>
    </w:p>
    <w:p>
      <w:pPr>
        <w:pStyle w:val="2"/>
        <w:spacing w:line="422" w:lineRule="auto"/>
        <w:ind w:right="1007"/>
      </w:pPr>
      <w:r>
        <w:rPr>
          <w:color w:val="333333"/>
        </w:rPr>
        <w:t>城市精神、传播、语言、文化、文学、艺术、创意产业等研究6.休闲与游憩学科建设</w:t>
      </w:r>
    </w:p>
    <w:p>
      <w:pPr>
        <w:pStyle w:val="2"/>
        <w:spacing w:before="1"/>
      </w:pPr>
      <w:r>
        <w:rPr>
          <w:color w:val="333333"/>
        </w:rPr>
        <w:t>休闲与游憩学科发展沿革、专业建设、人才培养、行业规范等研究</w:t>
      </w:r>
    </w:p>
    <w:sectPr>
      <w:pgSz w:w="11910" w:h="16840"/>
      <w:pgMar w:top="1520" w:right="154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503" w:hanging="284"/>
        <w:jc w:val="left"/>
      </w:pPr>
      <w:rPr>
        <w:rFonts w:hint="default" w:ascii="仿宋" w:hAnsi="仿宋" w:eastAsia="仿宋" w:cs="仿宋"/>
        <w:color w:val="333333"/>
        <w:spacing w:val="-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9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8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5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4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3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BA4F52"/>
    <w:rsid w:val="7BCB4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503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2020-02-15T05:47:00Z</dcterms:created>
  <dc:creator>admin</dc:creator>
  <cp:lastModifiedBy>Administrator</cp:lastModifiedBy>
  <dcterms:modified xsi:type="dcterms:W3CDTF">2021-03-03T03:15:28Z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2052-11.1.0.10314</vt:lpwstr>
  </property>
</Properties>
</file>