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3"/>
        <w:ind w:left="0" w:right="88" w:firstLine="0"/>
        <w:jc w:val="center"/>
        <w:rPr>
          <w:b/>
          <w:sz w:val="24"/>
        </w:rPr>
      </w:pPr>
      <w:r>
        <w:rPr>
          <w:b/>
          <w:sz w:val="24"/>
        </w:rPr>
        <w:t>成都游憩环境技术研究院开放性课题管理办法</w:t>
      </w:r>
    </w:p>
    <w:p>
      <w:pPr>
        <w:pStyle w:val="2"/>
        <w:rPr>
          <w:b/>
          <w:sz w:val="24"/>
        </w:rPr>
      </w:pPr>
    </w:p>
    <w:p>
      <w:pPr>
        <w:pStyle w:val="2"/>
        <w:rPr>
          <w:b/>
          <w:sz w:val="29"/>
        </w:rPr>
      </w:pPr>
    </w:p>
    <w:p>
      <w:pPr>
        <w:pStyle w:val="2"/>
        <w:tabs>
          <w:tab w:val="left" w:pos="811"/>
        </w:tabs>
        <w:ind w:right="119"/>
        <w:jc w:val="center"/>
      </w:pPr>
      <w:r>
        <w:t>第一章</w:t>
      </w:r>
      <w:r>
        <w:tab/>
      </w:r>
      <w:r>
        <w:t>总则</w:t>
      </w:r>
    </w:p>
    <w:p>
      <w:pPr>
        <w:pStyle w:val="2"/>
      </w:pPr>
    </w:p>
    <w:p>
      <w:pPr>
        <w:pStyle w:val="2"/>
      </w:pPr>
    </w:p>
    <w:p>
      <w:pPr>
        <w:pStyle w:val="2"/>
        <w:rPr>
          <w:sz w:val="20"/>
        </w:rPr>
      </w:pPr>
    </w:p>
    <w:p>
      <w:pPr>
        <w:pStyle w:val="2"/>
        <w:spacing w:line="491" w:lineRule="auto"/>
        <w:ind w:left="120" w:right="229"/>
        <w:jc w:val="both"/>
      </w:pPr>
      <w:r>
        <w:rPr>
          <w:spacing w:val="-3"/>
        </w:rPr>
        <w:t>第一条 为组织更多专家学者参与对游憩环境相关问题的研究，成都游憩环境技术研究院</w:t>
      </w:r>
      <w:r>
        <w:t>（</w:t>
      </w:r>
      <w:r>
        <w:rPr>
          <w:spacing w:val="-5"/>
        </w:rPr>
        <w:t>以下简称“游环</w:t>
      </w:r>
      <w:r>
        <w:rPr>
          <w:spacing w:val="-35"/>
        </w:rPr>
        <w:t>院”</w:t>
      </w:r>
      <w:r>
        <w:rPr>
          <w:spacing w:val="-23"/>
        </w:rPr>
        <w:t>）</w:t>
      </w:r>
      <w:r>
        <w:t>特设立开放性课题，并制定本管理办法。</w:t>
      </w:r>
    </w:p>
    <w:p>
      <w:pPr>
        <w:pStyle w:val="2"/>
        <w:spacing w:line="491" w:lineRule="auto"/>
        <w:ind w:left="120" w:right="232"/>
        <w:jc w:val="both"/>
      </w:pPr>
      <w:r>
        <w:rPr>
          <w:spacing w:val="-3"/>
        </w:rPr>
        <w:t>第二条 研究院是全国第一家也是唯一一家游憩环境研究院，系中国休闲研究中心研究基地、西南大学园艺</w:t>
      </w:r>
      <w:r>
        <w:rPr>
          <w:spacing w:val="-4"/>
        </w:rPr>
        <w:t>园林学院研究基地，科研课题管理中心重点以休闲城镇、休闲农业、游憩理论、游憩空间、旅游观光、乡</w:t>
      </w:r>
      <w:r>
        <w:rPr>
          <w:spacing w:val="-1"/>
        </w:rPr>
        <w:t>村民俗、特色小镇、田园综合体、全域旅游、国家公园、国家战略等为研究对象，以服务游憩环境学科、</w:t>
      </w:r>
      <w:r>
        <w:t>行业为宗旨。开放性课题主要用于资助与研究院战略定位相一致的对策研究、应用研究与理论研究。</w:t>
      </w:r>
    </w:p>
    <w:p>
      <w:pPr>
        <w:pStyle w:val="2"/>
      </w:pPr>
    </w:p>
    <w:p>
      <w:pPr>
        <w:pStyle w:val="2"/>
        <w:spacing w:before="3"/>
        <w:rPr>
          <w:sz w:val="19"/>
        </w:rPr>
      </w:pPr>
    </w:p>
    <w:p>
      <w:pPr>
        <w:pStyle w:val="2"/>
        <w:tabs>
          <w:tab w:val="left" w:pos="808"/>
        </w:tabs>
        <w:ind w:right="119"/>
        <w:jc w:val="center"/>
      </w:pPr>
      <w:r>
        <w:t>第二章</w:t>
      </w:r>
      <w:r>
        <w:tab/>
      </w:r>
      <w:r>
        <w:t>开放性课题的申请与评审</w:t>
      </w:r>
    </w:p>
    <w:p>
      <w:pPr>
        <w:pStyle w:val="2"/>
      </w:pPr>
    </w:p>
    <w:p>
      <w:pPr>
        <w:pStyle w:val="2"/>
      </w:pPr>
    </w:p>
    <w:p>
      <w:pPr>
        <w:pStyle w:val="2"/>
        <w:rPr>
          <w:sz w:val="20"/>
        </w:rPr>
      </w:pPr>
    </w:p>
    <w:p>
      <w:pPr>
        <w:pStyle w:val="2"/>
        <w:spacing w:line="491" w:lineRule="auto"/>
        <w:ind w:left="120" w:right="232"/>
        <w:jc w:val="both"/>
      </w:pPr>
      <w:r>
        <w:rPr>
          <w:spacing w:val="-3"/>
        </w:rPr>
        <w:t>第三条 研究院根据具体情况每年集中发布一次开放性课题申请指南，在游环院网站、中国休闲网站及其他相关媒体发布，接受课题申请。根据特殊研究需求，研究院不定期设立委托课题。</w:t>
      </w:r>
    </w:p>
    <w:p>
      <w:pPr>
        <w:pStyle w:val="2"/>
        <w:spacing w:line="494" w:lineRule="auto"/>
        <w:ind w:left="120" w:right="226"/>
        <w:jc w:val="both"/>
      </w:pPr>
      <w:r>
        <w:rPr>
          <w:spacing w:val="-5"/>
        </w:rPr>
        <w:t>第四条 开放性课题优先资助学术思想新颖、研究目标明确、研究内容具体、研究方法与技术路线合理、</w:t>
      </w:r>
      <w:r>
        <w:rPr>
          <w:spacing w:val="-4"/>
        </w:rPr>
        <w:t xml:space="preserve">1-2 </w:t>
      </w:r>
      <w:r>
        <w:t>年可取得成果的研究项目；重点资助国家、人民特别关注的重大环境问题的对策研究。</w:t>
      </w:r>
    </w:p>
    <w:p>
      <w:pPr>
        <w:pStyle w:val="2"/>
        <w:spacing w:before="1"/>
        <w:ind w:right="59"/>
        <w:jc w:val="center"/>
      </w:pPr>
      <w:r>
        <w:t>第五条 开放性课题接受全球高校、企事业单位研究人员申请。申请者一般应具有副高及以上专业技术职务</w:t>
      </w:r>
    </w:p>
    <w:p>
      <w:pPr>
        <w:pStyle w:val="2"/>
        <w:spacing w:before="6"/>
      </w:pPr>
    </w:p>
    <w:p>
      <w:pPr>
        <w:pStyle w:val="2"/>
        <w:ind w:left="120"/>
        <w:jc w:val="both"/>
      </w:pPr>
      <w:r>
        <w:t>（或具博士学位</w:t>
      </w:r>
      <w:r>
        <w:rPr>
          <w:spacing w:val="-92"/>
        </w:rPr>
        <w:t>）</w:t>
      </w:r>
      <w:r>
        <w:rPr>
          <w:spacing w:val="-7"/>
        </w:rPr>
        <w:t xml:space="preserve">，其他申请者需有 </w:t>
      </w:r>
      <w:r>
        <w:t>2</w:t>
      </w:r>
      <w:r>
        <w:rPr>
          <w:spacing w:val="-8"/>
        </w:rPr>
        <w:t xml:space="preserve"> 名副高及以上专业技术职务的科研人员书面推荐。</w:t>
      </w:r>
    </w:p>
    <w:p>
      <w:pPr>
        <w:pStyle w:val="2"/>
        <w:spacing w:before="12"/>
      </w:pPr>
    </w:p>
    <w:p>
      <w:pPr>
        <w:pStyle w:val="2"/>
        <w:spacing w:line="491" w:lineRule="auto"/>
        <w:ind w:left="120" w:right="233"/>
      </w:pPr>
      <w:r>
        <w:rPr>
          <w:spacing w:val="-8"/>
        </w:rPr>
        <w:t>第六条 开放性课题的申请者须遵照本管理办法有关规定，认真填写开放性课题资助项目申报书，并按规定签</w:t>
      </w:r>
      <w:r>
        <w:rPr>
          <w:spacing w:val="-6"/>
        </w:rPr>
        <w:t xml:space="preserve">名和用印后，提交纸质原件一式 </w:t>
      </w:r>
      <w:r>
        <w:t>3</w:t>
      </w:r>
      <w:r>
        <w:rPr>
          <w:spacing w:val="-9"/>
        </w:rPr>
        <w:t xml:space="preserve"> 份及电子版。</w:t>
      </w:r>
    </w:p>
    <w:p>
      <w:pPr>
        <w:pStyle w:val="2"/>
        <w:spacing w:before="2" w:line="491" w:lineRule="auto"/>
        <w:ind w:left="120" w:right="1780"/>
      </w:pPr>
      <w:r>
        <w:t>第七条 研究院办公室负责开放性课题的申请受理工作。有下列情况之一者不予受理： 1．申请书填写不合要求，申报材料不齐全者；</w:t>
      </w:r>
    </w:p>
    <w:p>
      <w:pPr>
        <w:pStyle w:val="6"/>
        <w:numPr>
          <w:ilvl w:val="0"/>
          <w:numId w:val="1"/>
        </w:numPr>
        <w:tabs>
          <w:tab w:val="left" w:pos="389"/>
        </w:tabs>
        <w:spacing w:before="5" w:after="0" w:line="240" w:lineRule="auto"/>
        <w:ind w:left="388" w:right="0" w:hanging="269"/>
        <w:jc w:val="left"/>
        <w:rPr>
          <w:sz w:val="18"/>
        </w:rPr>
      </w:pPr>
      <w:r>
        <w:rPr>
          <w:sz w:val="18"/>
        </w:rPr>
        <w:t>承担研究院开放性课题尚未结题者；</w:t>
      </w:r>
    </w:p>
    <w:p>
      <w:pPr>
        <w:pStyle w:val="2"/>
        <w:spacing w:before="4"/>
      </w:pPr>
    </w:p>
    <w:p>
      <w:pPr>
        <w:pStyle w:val="6"/>
        <w:numPr>
          <w:ilvl w:val="0"/>
          <w:numId w:val="1"/>
        </w:numPr>
        <w:tabs>
          <w:tab w:val="left" w:pos="389"/>
        </w:tabs>
        <w:spacing w:before="1" w:after="0" w:line="240" w:lineRule="auto"/>
        <w:ind w:left="388" w:right="0" w:hanging="269"/>
        <w:jc w:val="left"/>
        <w:rPr>
          <w:sz w:val="18"/>
        </w:rPr>
      </w:pPr>
      <w:r>
        <w:rPr>
          <w:sz w:val="18"/>
        </w:rPr>
        <w:t>不符合资助范围者。</w:t>
      </w:r>
    </w:p>
    <w:p>
      <w:pPr>
        <w:pStyle w:val="2"/>
        <w:rPr>
          <w:sz w:val="19"/>
        </w:rPr>
      </w:pPr>
    </w:p>
    <w:p>
      <w:pPr>
        <w:pStyle w:val="2"/>
        <w:spacing w:before="1" w:line="491" w:lineRule="auto"/>
        <w:ind w:left="120" w:right="101"/>
      </w:pPr>
      <w:r>
        <w:rPr>
          <w:spacing w:val="-8"/>
        </w:rPr>
        <w:t>第八条 开放性课题分为重点项目、一般项目、自筹项目、委托项目和成果后期资助项目五类。经专家评审后， 由研究院学术委员会决定是否资助立项。</w:t>
      </w:r>
    </w:p>
    <w:p>
      <w:pPr>
        <w:pStyle w:val="2"/>
      </w:pPr>
    </w:p>
    <w:p>
      <w:pPr>
        <w:pStyle w:val="2"/>
        <w:spacing w:before="1"/>
        <w:rPr>
          <w:sz w:val="19"/>
        </w:rPr>
      </w:pPr>
    </w:p>
    <w:p>
      <w:pPr>
        <w:pStyle w:val="2"/>
        <w:tabs>
          <w:tab w:val="left" w:pos="811"/>
        </w:tabs>
        <w:ind w:right="119"/>
        <w:jc w:val="center"/>
      </w:pPr>
      <w:r>
        <w:t>第三章</w:t>
      </w:r>
      <w:r>
        <w:tab/>
      </w:r>
      <w:r>
        <w:t>课题的实施与管理</w:t>
      </w:r>
    </w:p>
    <w:p>
      <w:pPr>
        <w:spacing w:after="0"/>
        <w:jc w:val="center"/>
        <w:sectPr>
          <w:type w:val="continuous"/>
          <w:pgSz w:w="11910" w:h="16840"/>
          <w:pgMar w:top="1460" w:right="1560" w:bottom="280" w:left="1680" w:header="720" w:footer="720" w:gutter="0"/>
          <w:cols w:space="720" w:num="1"/>
        </w:sectPr>
      </w:pPr>
    </w:p>
    <w:p>
      <w:pPr>
        <w:pStyle w:val="2"/>
        <w:spacing w:before="62"/>
        <w:ind w:left="120"/>
      </w:pPr>
      <w:r>
        <w:t>第九条 开放性课题资助项目批准立项后，由研究院批准经费。</w:t>
      </w:r>
    </w:p>
    <w:p>
      <w:pPr>
        <w:pStyle w:val="2"/>
        <w:spacing w:before="11"/>
      </w:pPr>
    </w:p>
    <w:p>
      <w:pPr>
        <w:pStyle w:val="2"/>
        <w:spacing w:line="494" w:lineRule="auto"/>
        <w:ind w:left="120" w:right="232"/>
        <w:jc w:val="both"/>
      </w:pPr>
      <w:r>
        <w:rPr>
          <w:spacing w:val="-3"/>
        </w:rPr>
        <w:t>第十条 为保证研究项目达到预期目的，立项项目资助经费由我院统一管理，项目经费使用按照申报书科研预算采用凭票报销制度。</w:t>
      </w:r>
    </w:p>
    <w:p>
      <w:pPr>
        <w:pStyle w:val="2"/>
        <w:ind w:left="120"/>
      </w:pPr>
      <w:r>
        <w:t>第十一条 在项目实施过程中，项目负责人应按时提交课题中期执行情况报告、经费使用情况报告。</w:t>
      </w:r>
    </w:p>
    <w:p>
      <w:pPr>
        <w:pStyle w:val="2"/>
        <w:spacing w:before="7"/>
      </w:pPr>
    </w:p>
    <w:p>
      <w:pPr>
        <w:pStyle w:val="2"/>
        <w:spacing w:line="494" w:lineRule="auto"/>
        <w:ind w:left="120" w:right="229"/>
        <w:jc w:val="both"/>
      </w:pPr>
      <w:r>
        <w:rPr>
          <w:spacing w:val="-3"/>
        </w:rPr>
        <w:t>第十二条 项目完成后须由项目负责人提交《课题结题报告》，经研究院组织专家评审通过方可结题。结题材料包括结题报告、成果原件等，项目负责人对研究成果原创性、真实性负全责，本院不承担任何连带责任。</w:t>
      </w:r>
    </w:p>
    <w:p>
      <w:pPr>
        <w:pStyle w:val="2"/>
        <w:spacing w:line="494" w:lineRule="auto"/>
        <w:ind w:left="120" w:right="232"/>
        <w:jc w:val="both"/>
      </w:pPr>
      <w:r>
        <w:rPr>
          <w:spacing w:val="-3"/>
        </w:rPr>
        <w:t>第十三条 课题成果须注明成都游憩环境技术研究院开放性课题资助，其科研成果权益归研究院与研究者所在单位共享。</w:t>
      </w:r>
    </w:p>
    <w:p>
      <w:pPr>
        <w:pStyle w:val="2"/>
        <w:ind w:left="120"/>
      </w:pPr>
      <w:r>
        <w:t>第十四条 重点项目研究期限为 2 年内，其他项目研究期限一般为 1 年内。</w:t>
      </w:r>
    </w:p>
    <w:p>
      <w:pPr>
        <w:pStyle w:val="2"/>
      </w:pPr>
    </w:p>
    <w:p>
      <w:pPr>
        <w:pStyle w:val="2"/>
        <w:spacing w:line="494" w:lineRule="auto"/>
        <w:ind w:left="120" w:right="234"/>
        <w:jc w:val="both"/>
      </w:pPr>
      <w:r>
        <w:rPr>
          <w:spacing w:val="-1"/>
        </w:rPr>
        <w:t>如遇特殊原因不能按期完成研究，可申请延期半年结题。凡未按相关程序申请延期的逾期项目，按规定时</w:t>
      </w:r>
      <w:r>
        <w:t>间相应扣减资助经费（</w:t>
      </w:r>
      <w:r>
        <w:rPr>
          <w:spacing w:val="-6"/>
        </w:rPr>
        <w:t xml:space="preserve">如一年期课题逾期一月扣减 </w:t>
      </w:r>
      <w:r>
        <w:rPr>
          <w:spacing w:val="1"/>
        </w:rPr>
        <w:t>1</w:t>
      </w:r>
      <w:r>
        <w:rPr>
          <w:spacing w:val="-4"/>
        </w:rPr>
        <w:t>/</w:t>
      </w:r>
      <w:r>
        <w:rPr>
          <w:spacing w:val="1"/>
        </w:rPr>
        <w:t>1</w:t>
      </w:r>
      <w:r>
        <w:t>2</w:t>
      </w:r>
      <w:r>
        <w:rPr>
          <w:spacing w:val="-17"/>
        </w:rPr>
        <w:t xml:space="preserve"> 经费</w:t>
      </w:r>
      <w:r>
        <w:rPr>
          <w:spacing w:val="-89"/>
        </w:rPr>
        <w:t>）</w:t>
      </w:r>
      <w:r>
        <w:t>，逾期一年追回全部款项。</w:t>
      </w:r>
    </w:p>
    <w:p>
      <w:pPr>
        <w:pStyle w:val="2"/>
      </w:pPr>
    </w:p>
    <w:p>
      <w:pPr>
        <w:pStyle w:val="2"/>
        <w:spacing w:before="9"/>
      </w:pPr>
    </w:p>
    <w:p>
      <w:pPr>
        <w:pStyle w:val="2"/>
        <w:tabs>
          <w:tab w:val="left" w:pos="808"/>
        </w:tabs>
        <w:spacing w:before="1"/>
        <w:ind w:right="119"/>
        <w:jc w:val="center"/>
      </w:pPr>
      <w:r>
        <w:t>第四章</w:t>
      </w:r>
      <w:r>
        <w:tab/>
      </w:r>
      <w:r>
        <w:t>开放性课题经费的使用与管理</w:t>
      </w:r>
    </w:p>
    <w:p>
      <w:pPr>
        <w:pStyle w:val="2"/>
      </w:pPr>
    </w:p>
    <w:p>
      <w:pPr>
        <w:pStyle w:val="2"/>
      </w:pPr>
    </w:p>
    <w:p>
      <w:pPr>
        <w:pStyle w:val="2"/>
        <w:spacing w:before="12"/>
        <w:rPr>
          <w:sz w:val="19"/>
        </w:rPr>
      </w:pPr>
    </w:p>
    <w:p>
      <w:pPr>
        <w:pStyle w:val="2"/>
        <w:spacing w:line="494" w:lineRule="auto"/>
        <w:ind w:left="120" w:right="101"/>
      </w:pPr>
      <w:r>
        <w:rPr>
          <w:spacing w:val="-8"/>
        </w:rPr>
        <w:t>第十五条 开放性课题经费开支范围：学术活动费，主要包括课题成果论著发表出版费用、国内外学术差旅费； 设备购置及材料消耗费；机时费等；专家咨询费；课题工作人员劳务费；外地客座人员往来差旅费、住宿和生活补助费；水、电、管理费等；其他应支付费用。</w:t>
      </w:r>
    </w:p>
    <w:p>
      <w:pPr>
        <w:pStyle w:val="2"/>
        <w:spacing w:line="494" w:lineRule="auto"/>
        <w:ind w:left="120" w:right="3954"/>
      </w:pPr>
      <w:r>
        <w:t>第十六条 开放性课题资助额度以具体项目立项通知为准。第十七条 研究院有权对课题经费开支情况进行审查。</w:t>
      </w:r>
    </w:p>
    <w:p>
      <w:pPr>
        <w:pStyle w:val="2"/>
      </w:pPr>
    </w:p>
    <w:p>
      <w:pPr>
        <w:pStyle w:val="2"/>
        <w:spacing w:before="5"/>
      </w:pPr>
    </w:p>
    <w:p>
      <w:pPr>
        <w:pStyle w:val="2"/>
        <w:tabs>
          <w:tab w:val="left" w:pos="811"/>
        </w:tabs>
        <w:ind w:right="119"/>
        <w:jc w:val="center"/>
      </w:pPr>
      <w:r>
        <w:t>第五章</w:t>
      </w:r>
      <w:r>
        <w:tab/>
      </w:r>
      <w:r>
        <w:t>附则</w:t>
      </w:r>
    </w:p>
    <w:p>
      <w:pPr>
        <w:pStyle w:val="2"/>
      </w:pPr>
    </w:p>
    <w:p>
      <w:pPr>
        <w:pStyle w:val="2"/>
      </w:pPr>
    </w:p>
    <w:p>
      <w:pPr>
        <w:pStyle w:val="2"/>
        <w:rPr>
          <w:sz w:val="20"/>
        </w:rPr>
      </w:pPr>
    </w:p>
    <w:p>
      <w:pPr>
        <w:pStyle w:val="2"/>
        <w:spacing w:line="491" w:lineRule="auto"/>
        <w:ind w:left="120" w:right="407"/>
      </w:pPr>
      <w:r>
        <w:rPr>
          <w:spacing w:val="-8"/>
        </w:rPr>
        <w:t>第十七条 凡申请研究院开放性课题的研究者，视为同意此管理办法全部内容。否则，取消此后本院开放性课题的申请资格。</w:t>
      </w:r>
    </w:p>
    <w:p>
      <w:pPr>
        <w:pStyle w:val="2"/>
        <w:spacing w:line="494" w:lineRule="auto"/>
        <w:ind w:left="120" w:right="3239"/>
      </w:pPr>
      <w:r>
        <w:t>第十八条 本办法如与国家部门规定相抵触，以上级部门规定为准。第十九条 本办法解释权归研究院科研项目管理中心办公室。</w:t>
      </w:r>
    </w:p>
    <w:p>
      <w:pPr>
        <w:pStyle w:val="2"/>
        <w:spacing w:line="494" w:lineRule="auto"/>
        <w:ind w:left="5788" w:right="1139" w:hanging="269"/>
        <w:jc w:val="right"/>
      </w:pPr>
      <w:r>
        <w:t xml:space="preserve">成都游憩环境技术研究院科研课题管理中心 </w:t>
      </w:r>
    </w:p>
    <w:p>
      <w:pPr>
        <w:pStyle w:val="2"/>
        <w:spacing w:line="494" w:lineRule="auto"/>
        <w:ind w:left="5788" w:right="1139" w:hanging="269"/>
        <w:jc w:val="right"/>
      </w:pPr>
      <w:r>
        <w:t xml:space="preserve">二 0 二 </w:t>
      </w:r>
      <w:r>
        <w:rPr>
          <w:rFonts w:hint="eastAsia"/>
          <w:lang w:eastAsia="zh-CN"/>
        </w:rPr>
        <w:t>四</w:t>
      </w:r>
      <w:r>
        <w:t>年</w:t>
      </w:r>
      <w:r>
        <w:rPr>
          <w:rFonts w:hint="eastAsia"/>
          <w:lang w:eastAsia="zh-CN"/>
        </w:rPr>
        <w:t>三</w:t>
      </w:r>
      <w:bookmarkStart w:id="0" w:name="_GoBack"/>
      <w:bookmarkEnd w:id="0"/>
      <w:r>
        <w:t>月</w:t>
      </w:r>
    </w:p>
    <w:sectPr>
      <w:pgSz w:w="11910" w:h="16840"/>
      <w:pgMar w:top="1480" w:right="156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2"/>
      <w:numFmt w:val="decimal"/>
      <w:lvlText w:val="%1."/>
      <w:lvlJc w:val="left"/>
      <w:pPr>
        <w:ind w:left="388" w:hanging="269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09" w:hanging="26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38" w:hanging="26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67" w:hanging="26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96" w:hanging="26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25" w:hanging="26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54" w:hanging="26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83" w:hanging="26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12" w:hanging="269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Y2JlZWIzMGE5NmJmNmUzMTE1ZDQyYzkzOGNhYzQ4NGEifQ=="/>
  </w:docVars>
  <w:rsids>
    <w:rsidRoot w:val="00000000"/>
    <w:rsid w:val="3DB822AC"/>
    <w:rsid w:val="49984991"/>
    <w:rsid w:val="6F9F1719"/>
    <w:rsid w:val="72CC0F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18"/>
      <w:szCs w:val="18"/>
      <w:lang w:val="zh-CN" w:eastAsia="zh-CN" w:bidi="zh-CN"/>
    </w:rPr>
  </w:style>
  <w:style w:type="table" w:customStyle="1" w:styleId="5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autoRedefine/>
    <w:qFormat/>
    <w:uiPriority w:val="1"/>
    <w:pPr>
      <w:spacing w:before="1"/>
      <w:ind w:left="388" w:hanging="269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autoRedefine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1478</Words>
  <Characters>1483</Characters>
  <TotalTime>0</TotalTime>
  <ScaleCrop>false</ScaleCrop>
  <LinksUpToDate>false</LinksUpToDate>
  <CharactersWithSpaces>1526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2020-02-15T05:51:00Z</dcterms:created>
  <dc:creator>胡勇</dc:creator>
  <cp:lastModifiedBy>宠暖以北</cp:lastModifiedBy>
  <dcterms:modified xsi:type="dcterms:W3CDTF">2024-04-09T02:15:41Z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2020-02-15T00:00:00Z</vt:filetime>
  </property>
  <property fmtid="{D5CDD505-2E9C-101B-9397-08002B2CF9AE}" pid="5" name="KSOProductBuildVer">
    <vt:lpwstr>2052-12.1.0.16388</vt:lpwstr>
  </property>
  <property fmtid="{D5CDD505-2E9C-101B-9397-08002B2CF9AE}" pid="6" name="ICV">
    <vt:lpwstr>FE184B67BD244FCABEC2167744F5678C</vt:lpwstr>
  </property>
</Properties>
</file>